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8"/>
      </w:tblGrid>
      <w:tr w:rsidR="000D583D" w:rsidRPr="000D583D" w14:paraId="43BC2D0A" w14:textId="77777777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AD9864" w14:textId="77777777" w:rsidR="000D583D" w:rsidRPr="000D583D" w:rsidRDefault="000D583D" w:rsidP="000D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0D583D" w:rsidRPr="000D583D" w14:paraId="3D58D697" w14:textId="77777777">
        <w:trPr>
          <w:tblCellSpacing w:w="7" w:type="dxa"/>
        </w:trPr>
        <w:tc>
          <w:tcPr>
            <w:tcW w:w="0" w:type="auto"/>
            <w:hideMark/>
          </w:tcPr>
          <w:p w14:paraId="2518A403" w14:textId="77777777" w:rsidR="000D583D" w:rsidRPr="000D583D" w:rsidRDefault="000D583D" w:rsidP="000D58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14:paraId="142D2DFC" w14:textId="6BBA8D94" w:rsidR="00586EA7" w:rsidRDefault="00586EA7" w:rsidP="00586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</w:t>
      </w:r>
      <w:r w:rsidR="00AA472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AA4724">
        <w:rPr>
          <w:rFonts w:ascii="Arial" w:hAnsi="Arial" w:cs="Arial"/>
          <w:b/>
          <w:bCs/>
          <w:sz w:val="20"/>
          <w:szCs w:val="20"/>
        </w:rPr>
        <w:t xml:space="preserve">3 </w:t>
      </w:r>
      <w:r w:rsidR="007406C1">
        <w:rPr>
          <w:rFonts w:ascii="Arial" w:hAnsi="Arial" w:cs="Arial"/>
          <w:b/>
          <w:bCs/>
          <w:sz w:val="20"/>
          <w:szCs w:val="20"/>
        </w:rPr>
        <w:t>00</w:t>
      </w:r>
    </w:p>
    <w:p w14:paraId="2449C8D5" w14:textId="77777777" w:rsidR="00586EA7" w:rsidRDefault="00EB231F" w:rsidP="00586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ALUMINUM SUNSHADE</w:t>
      </w:r>
    </w:p>
    <w:p w14:paraId="3DAA5444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6F9A15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76E841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1 – GENERAL </w:t>
      </w:r>
    </w:p>
    <w:p w14:paraId="0AB8CA2D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30DB8A" w14:textId="77777777" w:rsidR="0027061C" w:rsidRPr="00092242" w:rsidRDefault="0027061C" w:rsidP="0027061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63632A00" w14:textId="77777777" w:rsidR="0027061C" w:rsidRPr="00092242" w:rsidRDefault="0027061C" w:rsidP="0027061C">
      <w:pPr>
        <w:pStyle w:val="PR1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Section Includes:</w:t>
      </w:r>
      <w:r w:rsidR="00EB231F">
        <w:rPr>
          <w:rFonts w:ascii="Arial" w:hAnsi="Arial" w:cs="Arial"/>
        </w:rPr>
        <w:t xml:space="preserve"> Louvered </w:t>
      </w:r>
      <w:r w:rsidR="00C52D2B">
        <w:rPr>
          <w:rFonts w:ascii="Arial" w:hAnsi="Arial" w:cs="Arial"/>
        </w:rPr>
        <w:t>Sunshade.</w:t>
      </w:r>
    </w:p>
    <w:p w14:paraId="6E4F3F5A" w14:textId="77777777" w:rsidR="0027061C" w:rsidRPr="00092242" w:rsidRDefault="0027061C" w:rsidP="0027061C">
      <w:pPr>
        <w:pStyle w:val="PR1"/>
        <w:numPr>
          <w:ilvl w:val="0"/>
          <w:numId w:val="16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</w:p>
    <w:p w14:paraId="713E5B79" w14:textId="77777777" w:rsidR="0027061C" w:rsidRPr="00092242" w:rsidRDefault="0027061C" w:rsidP="0027061C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004833DC" w14:textId="77777777" w:rsidR="0027061C" w:rsidRPr="00092242" w:rsidRDefault="0027061C" w:rsidP="0027061C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14:paraId="6CFA3EFC" w14:textId="77777777" w:rsidR="0027061C" w:rsidRPr="00092242" w:rsidRDefault="0027061C" w:rsidP="0027061C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14:paraId="574F2F00" w14:textId="77777777" w:rsidR="0027061C" w:rsidRPr="00092242" w:rsidRDefault="0027061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29706C">
        <w:rPr>
          <w:rFonts w:ascii="Arial" w:hAnsi="Arial" w:cs="Arial"/>
        </w:rPr>
        <w:t>Aluminum</w:t>
      </w:r>
    </w:p>
    <w:p w14:paraId="13CAF8FB" w14:textId="77777777" w:rsidR="0027061C" w:rsidRPr="00092242" w:rsidRDefault="0027061C" w:rsidP="0027061C">
      <w:pPr>
        <w:pStyle w:val="PR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14:paraId="6CBE70D3" w14:textId="77777777" w:rsidR="0027061C" w:rsidRDefault="0029706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</w:t>
      </w:r>
      <w:r w:rsidR="0027061C">
        <w:rPr>
          <w:rFonts w:ascii="Arial" w:hAnsi="Arial" w:cs="Arial"/>
        </w:rPr>
        <w:t>oat</w:t>
      </w:r>
    </w:p>
    <w:p w14:paraId="60FB3EF8" w14:textId="77777777" w:rsidR="0027061C" w:rsidRDefault="0029706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2605 K</w:t>
      </w:r>
      <w:r w:rsidR="0027061C">
        <w:rPr>
          <w:rFonts w:ascii="Arial" w:hAnsi="Arial" w:cs="Arial"/>
        </w:rPr>
        <w:t>ynar</w:t>
      </w:r>
    </w:p>
    <w:p w14:paraId="21AB94BA" w14:textId="77777777" w:rsidR="0027061C" w:rsidRPr="00092242" w:rsidRDefault="0029706C" w:rsidP="0027061C">
      <w:pPr>
        <w:pStyle w:val="PR2"/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</w:t>
      </w:r>
      <w:r w:rsidR="0027061C">
        <w:rPr>
          <w:rFonts w:ascii="Arial" w:hAnsi="Arial" w:cs="Arial"/>
        </w:rPr>
        <w:t>nodize</w:t>
      </w:r>
    </w:p>
    <w:p w14:paraId="4E7554DF" w14:textId="77777777" w:rsidR="0027061C" w:rsidRPr="00092242" w:rsidRDefault="0027061C" w:rsidP="00270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45DCC9" w14:textId="77777777" w:rsidR="0029706C" w:rsidRPr="00092242" w:rsidRDefault="0029706C" w:rsidP="0029706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79B838F3" w14:textId="77777777" w:rsidR="0029706C" w:rsidRPr="003066EE" w:rsidRDefault="0029706C" w:rsidP="0029706C">
      <w:pPr>
        <w:pStyle w:val="PR1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Shop Drawings: Indicate size, material and finish. Include plan elevation pages to clearly outline sunshade locations. Include installation procedures, details of joints, attachments and clearances. Provide lead t</w:t>
      </w:r>
      <w:r w:rsidR="00C52D2B">
        <w:rPr>
          <w:rFonts w:ascii="Arial" w:hAnsi="Arial" w:cs="Arial"/>
        </w:rPr>
        <w:t xml:space="preserve">ime for product and note possible conflicts with </w:t>
      </w:r>
      <w:r>
        <w:rPr>
          <w:rFonts w:ascii="Arial" w:hAnsi="Arial" w:cs="Arial"/>
        </w:rPr>
        <w:t>standard line.</w:t>
      </w:r>
    </w:p>
    <w:p w14:paraId="2B6DCDCC" w14:textId="4C42A98A" w:rsidR="0029706C" w:rsidRPr="00803828" w:rsidRDefault="00C52D2B" w:rsidP="0029706C">
      <w:pPr>
        <w:pStyle w:val="PR1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29706C">
        <w:rPr>
          <w:rFonts w:ascii="Arial" w:hAnsi="Arial" w:cs="Arial"/>
        </w:rPr>
        <w:t>olor charts showing manufacturer’s full range of colors from standard line.</w:t>
      </w:r>
    </w:p>
    <w:p w14:paraId="346EF5F7" w14:textId="12A39B94" w:rsidR="00803828" w:rsidRPr="00803828" w:rsidRDefault="00803828" w:rsidP="00803828">
      <w:pPr>
        <w:pStyle w:val="PR1"/>
        <w:rPr>
          <w:rFonts w:ascii="Arial" w:hAnsi="Arial" w:cs="Arial"/>
          <w:b/>
          <w:bCs/>
        </w:rPr>
      </w:pPr>
      <w:r w:rsidRPr="00803828">
        <w:rPr>
          <w:rFonts w:ascii="Arial" w:hAnsi="Arial" w:cs="Arial"/>
          <w:b/>
          <w:bCs/>
        </w:rPr>
        <w:t xml:space="preserve">1.4 Warranty </w:t>
      </w:r>
    </w:p>
    <w:p w14:paraId="37E88B38" w14:textId="77777777" w:rsidR="00803828" w:rsidRPr="000B4FF0" w:rsidRDefault="00803828" w:rsidP="00803828">
      <w:pPr>
        <w:pStyle w:val="PR1"/>
        <w:numPr>
          <w:ilvl w:val="0"/>
          <w:numId w:val="21"/>
        </w:numPr>
        <w:rPr>
          <w:rFonts w:ascii="Arial" w:hAnsi="Arial" w:cs="Arial"/>
        </w:rPr>
      </w:pPr>
      <w:r w:rsidRPr="000B4FF0">
        <w:rPr>
          <w:rFonts w:ascii="Arial" w:hAnsi="Arial" w:cs="Arial"/>
          <w:spacing w:val="-1"/>
        </w:rPr>
        <w:t>S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ci</w:t>
      </w:r>
      <w:r w:rsidRPr="000B4FF0">
        <w:rPr>
          <w:rFonts w:ascii="Arial" w:hAnsi="Arial" w:cs="Arial"/>
        </w:rPr>
        <w:t>al</w:t>
      </w:r>
      <w:r w:rsidRPr="000B4FF0">
        <w:rPr>
          <w:rFonts w:ascii="Arial" w:hAnsi="Arial" w:cs="Arial"/>
          <w:spacing w:val="30"/>
        </w:rPr>
        <w:t xml:space="preserve"> </w:t>
      </w:r>
      <w:r w:rsidRPr="000B4FF0">
        <w:rPr>
          <w:rFonts w:ascii="Arial" w:hAnsi="Arial" w:cs="Arial"/>
          <w:spacing w:val="11"/>
        </w:rPr>
        <w:t>W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2"/>
        </w:rPr>
        <w:t>r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  <w:spacing w:val="-4"/>
        </w:rPr>
        <w:t>y</w:t>
      </w:r>
      <w:r w:rsidRPr="000B4FF0">
        <w:rPr>
          <w:rFonts w:ascii="Arial" w:hAnsi="Arial" w:cs="Arial"/>
        </w:rPr>
        <w:t xml:space="preserve">:  </w:t>
      </w:r>
      <w:r w:rsidRPr="000B4FF0">
        <w:rPr>
          <w:rFonts w:ascii="Arial" w:hAnsi="Arial" w:cs="Arial"/>
          <w:spacing w:val="18"/>
        </w:rPr>
        <w:t xml:space="preserve"> </w:t>
      </w:r>
      <w:r w:rsidRPr="000B4FF0">
        <w:rPr>
          <w:rFonts w:ascii="Arial" w:hAnsi="Arial" w:cs="Arial"/>
          <w:spacing w:val="2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4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ture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's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ta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d</w:t>
      </w:r>
      <w:r w:rsidRPr="000B4FF0">
        <w:rPr>
          <w:rFonts w:ascii="Arial" w:hAnsi="Arial" w:cs="Arial"/>
        </w:rPr>
        <w:t>ard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orm</w:t>
      </w:r>
      <w:r w:rsidRPr="000B4FF0">
        <w:rPr>
          <w:rFonts w:ascii="Arial" w:hAnsi="Arial" w:cs="Arial"/>
          <w:spacing w:val="41"/>
        </w:rPr>
        <w:t xml:space="preserve"> 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41"/>
        </w:rPr>
        <w:t xml:space="preserve"> </w:t>
      </w:r>
      <w:r w:rsidRPr="000B4FF0">
        <w:rPr>
          <w:rFonts w:ascii="Arial" w:hAnsi="Arial" w:cs="Arial"/>
          <w:spacing w:val="-2"/>
        </w:rPr>
        <w:t>w</w:t>
      </w:r>
      <w:r w:rsidRPr="000B4FF0">
        <w:rPr>
          <w:rFonts w:ascii="Arial" w:hAnsi="Arial" w:cs="Arial"/>
          <w:spacing w:val="2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turer</w:t>
      </w:r>
      <w:r w:rsidRPr="000B4FF0">
        <w:rPr>
          <w:rFonts w:ascii="Arial" w:hAnsi="Arial" w:cs="Arial"/>
          <w:spacing w:val="29"/>
        </w:rPr>
        <w:t xml:space="preserve"> 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g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es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</w:rPr>
        <w:t>to</w:t>
      </w:r>
      <w:r w:rsidRPr="000B4FF0">
        <w:rPr>
          <w:rFonts w:ascii="Arial" w:hAnsi="Arial" w:cs="Arial"/>
          <w:spacing w:val="38"/>
        </w:rPr>
        <w:t xml:space="preserve"> </w:t>
      </w:r>
      <w:r w:rsidRPr="000B4FF0">
        <w:rPr>
          <w:rFonts w:ascii="Arial" w:hAnsi="Arial" w:cs="Arial"/>
          <w:spacing w:val="3"/>
        </w:rPr>
        <w:t>r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r</w:t>
      </w:r>
      <w:r w:rsidRPr="000B4FF0">
        <w:rPr>
          <w:rFonts w:ascii="Arial" w:hAnsi="Arial" w:cs="Arial"/>
          <w:spacing w:val="35"/>
        </w:rPr>
        <w:t xml:space="preserve"> </w:t>
      </w:r>
      <w:r w:rsidRPr="000B4FF0">
        <w:rPr>
          <w:rFonts w:ascii="Arial" w:hAnsi="Arial" w:cs="Arial"/>
        </w:rPr>
        <w:t xml:space="preserve">or 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-1"/>
        </w:rPr>
        <w:t>pl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e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o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</w:rPr>
        <w:t>nts</w:t>
      </w:r>
      <w:r w:rsidRPr="000B4FF0">
        <w:rPr>
          <w:rFonts w:ascii="Arial" w:hAnsi="Arial" w:cs="Arial"/>
          <w:spacing w:val="25"/>
        </w:rPr>
        <w:t xml:space="preserve"> </w:t>
      </w:r>
      <w:r w:rsidRPr="000B4FF0">
        <w:rPr>
          <w:rFonts w:ascii="Arial" w:hAnsi="Arial" w:cs="Arial"/>
        </w:rPr>
        <w:t>of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2"/>
        </w:rPr>
        <w:t>m</w:t>
      </w:r>
      <w:r w:rsidRPr="000B4FF0">
        <w:rPr>
          <w:rFonts w:ascii="Arial" w:hAnsi="Arial" w:cs="Arial"/>
        </w:rPr>
        <w:t>et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</w:rPr>
        <w:t>l</w:t>
      </w:r>
      <w:r w:rsidRPr="000B4FF0">
        <w:rPr>
          <w:rFonts w:ascii="Arial" w:hAnsi="Arial" w:cs="Arial"/>
          <w:spacing w:val="30"/>
        </w:rPr>
        <w:t xml:space="preserve"> 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1"/>
        </w:rPr>
        <w:t>n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es</w:t>
      </w:r>
      <w:r w:rsidRPr="000B4FF0">
        <w:rPr>
          <w:rFonts w:ascii="Arial" w:hAnsi="Arial" w:cs="Arial"/>
          <w:spacing w:val="28"/>
        </w:rPr>
        <w:t xml:space="preserve"> 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-1"/>
        </w:rPr>
        <w:t>a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31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l</w:t>
      </w:r>
      <w:r w:rsidRPr="000B4FF0">
        <w:rPr>
          <w:rFonts w:ascii="Arial" w:hAnsi="Arial" w:cs="Arial"/>
          <w:spacing w:val="32"/>
        </w:rPr>
        <w:t xml:space="preserve"> 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33"/>
        </w:rPr>
        <w:t xml:space="preserve"> 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at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l</w:t>
      </w:r>
      <w:r w:rsidRPr="000B4FF0">
        <w:rPr>
          <w:rFonts w:ascii="Arial" w:hAnsi="Arial" w:cs="Arial"/>
        </w:rPr>
        <w:t>s</w:t>
      </w:r>
      <w:r w:rsidRPr="000B4FF0">
        <w:rPr>
          <w:rFonts w:ascii="Arial" w:hAnsi="Arial" w:cs="Arial"/>
          <w:spacing w:val="25"/>
        </w:rPr>
        <w:t xml:space="preserve"> </w:t>
      </w:r>
      <w:r w:rsidRPr="000B4FF0">
        <w:rPr>
          <w:rFonts w:ascii="Arial" w:hAnsi="Arial" w:cs="Arial"/>
        </w:rPr>
        <w:t>or</w:t>
      </w:r>
      <w:r w:rsidRPr="000B4FF0">
        <w:rPr>
          <w:rFonts w:ascii="Arial" w:hAnsi="Arial" w:cs="Arial"/>
          <w:spacing w:val="34"/>
        </w:rPr>
        <w:t xml:space="preserve"> </w:t>
      </w:r>
      <w:r w:rsidRPr="000B4FF0">
        <w:rPr>
          <w:rFonts w:ascii="Arial" w:hAnsi="Arial" w:cs="Arial"/>
        </w:rPr>
        <w:t>wor</w:t>
      </w:r>
      <w:r w:rsidRPr="000B4FF0">
        <w:rPr>
          <w:rFonts w:ascii="Arial" w:hAnsi="Arial" w:cs="Arial"/>
          <w:spacing w:val="1"/>
        </w:rPr>
        <w:t>k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23"/>
        </w:rPr>
        <w:t xml:space="preserve"> </w:t>
      </w:r>
      <w:r w:rsidRPr="000B4FF0">
        <w:rPr>
          <w:rFonts w:ascii="Arial" w:hAnsi="Arial" w:cs="Arial"/>
        </w:rPr>
        <w:t>w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2"/>
        </w:rPr>
        <w:t>h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n</w:t>
      </w:r>
      <w:r w:rsidRPr="000B4FF0">
        <w:rPr>
          <w:rFonts w:ascii="Arial" w:hAnsi="Arial" w:cs="Arial"/>
          <w:spacing w:val="29"/>
        </w:rPr>
        <w:t xml:space="preserve"> 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1"/>
        </w:rPr>
        <w:t>c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d war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4"/>
        </w:rPr>
        <w:t>t</w:t>
      </w:r>
      <w:r w:rsidRPr="000B4FF0">
        <w:rPr>
          <w:rFonts w:ascii="Arial" w:hAnsi="Arial" w:cs="Arial"/>
        </w:rPr>
        <w:t>y</w:t>
      </w:r>
      <w:r w:rsidRPr="000B4FF0">
        <w:rPr>
          <w:rFonts w:ascii="Arial" w:hAnsi="Arial" w:cs="Arial"/>
          <w:spacing w:val="-12"/>
        </w:rPr>
        <w:t xml:space="preserve"> 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e</w:t>
      </w:r>
      <w:r w:rsidRPr="000B4FF0">
        <w:rPr>
          <w:rFonts w:ascii="Arial" w:hAnsi="Arial" w:cs="Arial"/>
          <w:spacing w:val="3"/>
        </w:rPr>
        <w:t>r</w:t>
      </w:r>
      <w:r w:rsidRPr="000B4FF0">
        <w:rPr>
          <w:rFonts w:ascii="Arial" w:hAnsi="Arial" w:cs="Arial"/>
          <w:spacing w:val="-1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1"/>
        </w:rPr>
        <w:t>d</w:t>
      </w:r>
      <w:r w:rsidRPr="000B4F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2994435A" w14:textId="2FA9293C" w:rsidR="00803828" w:rsidRPr="00803828" w:rsidRDefault="00803828" w:rsidP="00803828">
      <w:pPr>
        <w:pStyle w:val="PR1"/>
        <w:numPr>
          <w:ilvl w:val="2"/>
          <w:numId w:val="21"/>
        </w:numPr>
        <w:rPr>
          <w:rFonts w:ascii="Arial" w:hAnsi="Arial" w:cs="Arial"/>
        </w:rPr>
      </w:pPr>
      <w:r w:rsidRPr="000B4FF0">
        <w:rPr>
          <w:rFonts w:ascii="Arial" w:hAnsi="Arial" w:cs="Arial"/>
          <w:spacing w:val="6"/>
        </w:rPr>
        <w:t>W</w:t>
      </w:r>
      <w:r w:rsidRPr="000B4FF0">
        <w:rPr>
          <w:rFonts w:ascii="Arial" w:hAnsi="Arial" w:cs="Arial"/>
          <w:spacing w:val="-3"/>
        </w:rPr>
        <w:t>a</w:t>
      </w:r>
      <w:r w:rsidRPr="000B4FF0">
        <w:rPr>
          <w:rFonts w:ascii="Arial" w:hAnsi="Arial" w:cs="Arial"/>
          <w:spacing w:val="1"/>
        </w:rPr>
        <w:t>rr</w:t>
      </w:r>
      <w:r w:rsidRPr="000B4FF0">
        <w:rPr>
          <w:rFonts w:ascii="Arial" w:hAnsi="Arial" w:cs="Arial"/>
        </w:rPr>
        <w:t>a</w:t>
      </w:r>
      <w:r w:rsidRPr="000B4FF0">
        <w:rPr>
          <w:rFonts w:ascii="Arial" w:hAnsi="Arial" w:cs="Arial"/>
          <w:spacing w:val="-1"/>
        </w:rPr>
        <w:t>n</w:t>
      </w:r>
      <w:r w:rsidRPr="000B4FF0">
        <w:rPr>
          <w:rFonts w:ascii="Arial" w:hAnsi="Arial" w:cs="Arial"/>
          <w:spacing w:val="2"/>
        </w:rPr>
        <w:t>t</w:t>
      </w:r>
      <w:r w:rsidRPr="000B4FF0">
        <w:rPr>
          <w:rFonts w:ascii="Arial" w:hAnsi="Arial" w:cs="Arial"/>
        </w:rPr>
        <w:t>y</w:t>
      </w:r>
      <w:r w:rsidRPr="000B4FF0">
        <w:rPr>
          <w:rFonts w:ascii="Arial" w:hAnsi="Arial" w:cs="Arial"/>
          <w:spacing w:val="-12"/>
        </w:rPr>
        <w:t xml:space="preserve"> </w:t>
      </w:r>
      <w:r w:rsidRPr="000B4FF0">
        <w:rPr>
          <w:rFonts w:ascii="Arial" w:hAnsi="Arial" w:cs="Arial"/>
          <w:spacing w:val="-1"/>
        </w:rPr>
        <w:t>P</w:t>
      </w:r>
      <w:r w:rsidRPr="000B4FF0">
        <w:rPr>
          <w:rFonts w:ascii="Arial" w:hAnsi="Arial" w:cs="Arial"/>
        </w:rPr>
        <w:t>er</w:t>
      </w:r>
      <w:r w:rsidRPr="000B4FF0">
        <w:rPr>
          <w:rFonts w:ascii="Arial" w:hAnsi="Arial" w:cs="Arial"/>
          <w:spacing w:val="2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-1"/>
        </w:rPr>
        <w:t>d</w:t>
      </w:r>
      <w:r w:rsidRPr="000B4FF0">
        <w:rPr>
          <w:rFonts w:ascii="Arial" w:hAnsi="Arial" w:cs="Arial"/>
        </w:rPr>
        <w:t>:</w:t>
      </w:r>
      <w:r w:rsidRPr="000B4FF0">
        <w:rPr>
          <w:rFonts w:ascii="Arial" w:hAnsi="Arial" w:cs="Arial"/>
          <w:spacing w:val="50"/>
        </w:rPr>
        <w:t xml:space="preserve"> </w:t>
      </w:r>
      <w:r w:rsidRPr="000B4FF0">
        <w:rPr>
          <w:rFonts w:ascii="Arial" w:hAnsi="Arial" w:cs="Arial"/>
          <w:spacing w:val="1"/>
        </w:rPr>
        <w:t>O</w:t>
      </w:r>
      <w:r w:rsidRPr="000B4FF0">
        <w:rPr>
          <w:rFonts w:ascii="Arial" w:hAnsi="Arial" w:cs="Arial"/>
        </w:rPr>
        <w:t>ne</w:t>
      </w:r>
      <w:r w:rsidRPr="000B4FF0">
        <w:rPr>
          <w:rFonts w:ascii="Arial" w:hAnsi="Arial" w:cs="Arial"/>
          <w:spacing w:val="-1"/>
        </w:rPr>
        <w:t xml:space="preserve"> </w:t>
      </w:r>
      <w:r w:rsidRPr="000B4FF0">
        <w:rPr>
          <w:rFonts w:ascii="Arial" w:hAnsi="Arial" w:cs="Arial"/>
          <w:spacing w:val="-4"/>
        </w:rPr>
        <w:t>y</w:t>
      </w:r>
      <w:r w:rsidRPr="000B4FF0">
        <w:rPr>
          <w:rFonts w:ascii="Arial" w:hAnsi="Arial" w:cs="Arial"/>
          <w:spacing w:val="2"/>
        </w:rPr>
        <w:t>e</w:t>
      </w:r>
      <w:r w:rsidRPr="000B4FF0">
        <w:rPr>
          <w:rFonts w:ascii="Arial" w:hAnsi="Arial" w:cs="Arial"/>
        </w:rPr>
        <w:t>ar</w:t>
      </w:r>
      <w:r w:rsidRPr="000B4FF0">
        <w:rPr>
          <w:rFonts w:ascii="Arial" w:hAnsi="Arial" w:cs="Arial"/>
          <w:spacing w:val="-4"/>
        </w:rPr>
        <w:t xml:space="preserve"> </w:t>
      </w:r>
      <w:r w:rsidRPr="000B4FF0">
        <w:rPr>
          <w:rFonts w:ascii="Arial" w:hAnsi="Arial" w:cs="Arial"/>
          <w:spacing w:val="2"/>
        </w:rPr>
        <w:t>f</w:t>
      </w:r>
      <w:r w:rsidRPr="000B4FF0">
        <w:rPr>
          <w:rFonts w:ascii="Arial" w:hAnsi="Arial" w:cs="Arial"/>
          <w:spacing w:val="1"/>
        </w:rPr>
        <w:t>r</w:t>
      </w:r>
      <w:r w:rsidRPr="000B4FF0">
        <w:rPr>
          <w:rFonts w:ascii="Arial" w:hAnsi="Arial" w:cs="Arial"/>
          <w:spacing w:val="-3"/>
        </w:rPr>
        <w:t>o</w:t>
      </w:r>
      <w:r w:rsidRPr="000B4FF0">
        <w:rPr>
          <w:rFonts w:ascii="Arial" w:hAnsi="Arial" w:cs="Arial"/>
        </w:rPr>
        <w:t>m d</w:t>
      </w:r>
      <w:r w:rsidRPr="000B4FF0">
        <w:rPr>
          <w:rFonts w:ascii="Arial" w:hAnsi="Arial" w:cs="Arial"/>
          <w:spacing w:val="-1"/>
        </w:rPr>
        <w:t>a</w:t>
      </w:r>
      <w:r w:rsidRPr="000B4FF0">
        <w:rPr>
          <w:rFonts w:ascii="Arial" w:hAnsi="Arial" w:cs="Arial"/>
        </w:rPr>
        <w:t>te</w:t>
      </w:r>
      <w:r w:rsidRPr="000B4FF0">
        <w:rPr>
          <w:rFonts w:ascii="Arial" w:hAnsi="Arial" w:cs="Arial"/>
          <w:spacing w:val="-5"/>
        </w:rPr>
        <w:t xml:space="preserve"> </w:t>
      </w:r>
      <w:r w:rsidRPr="000B4FF0">
        <w:rPr>
          <w:rFonts w:ascii="Arial" w:hAnsi="Arial" w:cs="Arial"/>
        </w:rPr>
        <w:t>of</w:t>
      </w:r>
      <w:r w:rsidRPr="000B4FF0">
        <w:rPr>
          <w:rFonts w:ascii="Arial" w:hAnsi="Arial" w:cs="Arial"/>
          <w:spacing w:val="-1"/>
        </w:rPr>
        <w:t xml:space="preserve"> S</w:t>
      </w:r>
      <w:r w:rsidRPr="000B4FF0">
        <w:rPr>
          <w:rFonts w:ascii="Arial" w:hAnsi="Arial" w:cs="Arial"/>
        </w:rPr>
        <w:t>u</w:t>
      </w:r>
      <w:r w:rsidRPr="000B4FF0">
        <w:rPr>
          <w:rFonts w:ascii="Arial" w:hAnsi="Arial" w:cs="Arial"/>
          <w:spacing w:val="-1"/>
        </w:rPr>
        <w:t>b</w:t>
      </w:r>
      <w:r w:rsidRPr="000B4FF0">
        <w:rPr>
          <w:rFonts w:ascii="Arial" w:hAnsi="Arial" w:cs="Arial"/>
          <w:spacing w:val="1"/>
        </w:rPr>
        <w:t>s</w:t>
      </w:r>
      <w:r w:rsidRPr="000B4FF0">
        <w:rPr>
          <w:rFonts w:ascii="Arial" w:hAnsi="Arial" w:cs="Arial"/>
        </w:rPr>
        <w:t>t</w:t>
      </w:r>
      <w:r w:rsidRPr="000B4FF0">
        <w:rPr>
          <w:rFonts w:ascii="Arial" w:hAnsi="Arial" w:cs="Arial"/>
          <w:spacing w:val="2"/>
        </w:rPr>
        <w:t>a</w:t>
      </w:r>
      <w:r w:rsidRPr="000B4FF0">
        <w:rPr>
          <w:rFonts w:ascii="Arial" w:hAnsi="Arial" w:cs="Arial"/>
        </w:rPr>
        <w:t>nt</w:t>
      </w:r>
      <w:r w:rsidRPr="000B4FF0">
        <w:rPr>
          <w:rFonts w:ascii="Arial" w:hAnsi="Arial" w:cs="Arial"/>
          <w:spacing w:val="1"/>
        </w:rPr>
        <w:t>i</w:t>
      </w:r>
      <w:r w:rsidRPr="000B4FF0">
        <w:rPr>
          <w:rFonts w:ascii="Arial" w:hAnsi="Arial" w:cs="Arial"/>
        </w:rPr>
        <w:t>al</w:t>
      </w:r>
      <w:r w:rsidRPr="000B4FF0">
        <w:rPr>
          <w:rFonts w:ascii="Arial" w:hAnsi="Arial" w:cs="Arial"/>
          <w:spacing w:val="-9"/>
        </w:rPr>
        <w:t xml:space="preserve"> </w:t>
      </w:r>
      <w:r w:rsidRPr="000B4FF0">
        <w:rPr>
          <w:rFonts w:ascii="Arial" w:hAnsi="Arial" w:cs="Arial"/>
          <w:spacing w:val="2"/>
        </w:rPr>
        <w:t>C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4"/>
        </w:rPr>
        <w:t>m</w:t>
      </w:r>
      <w:r w:rsidRPr="000B4FF0">
        <w:rPr>
          <w:rFonts w:ascii="Arial" w:hAnsi="Arial" w:cs="Arial"/>
        </w:rPr>
        <w:t>p</w:t>
      </w:r>
      <w:r w:rsidRPr="000B4FF0">
        <w:rPr>
          <w:rFonts w:ascii="Arial" w:hAnsi="Arial" w:cs="Arial"/>
          <w:spacing w:val="-1"/>
        </w:rPr>
        <w:t>l</w:t>
      </w:r>
      <w:r w:rsidRPr="000B4FF0">
        <w:rPr>
          <w:rFonts w:ascii="Arial" w:hAnsi="Arial" w:cs="Arial"/>
        </w:rPr>
        <w:t>et</w:t>
      </w:r>
      <w:r w:rsidRPr="000B4FF0">
        <w:rPr>
          <w:rFonts w:ascii="Arial" w:hAnsi="Arial" w:cs="Arial"/>
          <w:spacing w:val="-2"/>
        </w:rPr>
        <w:t>i</w:t>
      </w:r>
      <w:r w:rsidRPr="000B4FF0">
        <w:rPr>
          <w:rFonts w:ascii="Arial" w:hAnsi="Arial" w:cs="Arial"/>
        </w:rPr>
        <w:t>o</w:t>
      </w:r>
      <w:r w:rsidRPr="000B4FF0">
        <w:rPr>
          <w:rFonts w:ascii="Arial" w:hAnsi="Arial" w:cs="Arial"/>
          <w:spacing w:val="1"/>
        </w:rPr>
        <w:t>n</w:t>
      </w:r>
      <w:r w:rsidRPr="000B4FF0">
        <w:rPr>
          <w:rFonts w:ascii="Arial" w:hAnsi="Arial" w:cs="Arial"/>
        </w:rPr>
        <w:t>.</w:t>
      </w:r>
    </w:p>
    <w:p w14:paraId="2E7CC6FA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EA43AF" w14:textId="77777777" w:rsidR="00586EA7" w:rsidRDefault="0027061C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="00586EA7">
        <w:rPr>
          <w:rFonts w:ascii="Arial" w:hAnsi="Arial" w:cs="Arial"/>
          <w:b/>
          <w:bCs/>
          <w:sz w:val="20"/>
          <w:szCs w:val="20"/>
        </w:rPr>
        <w:t>PRODUCTS</w:t>
      </w:r>
    </w:p>
    <w:p w14:paraId="4D334267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873B3D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 APPROVED MANUFACTURERS</w:t>
      </w:r>
    </w:p>
    <w:p w14:paraId="58F87A7C" w14:textId="77777777" w:rsidR="00C367D3" w:rsidRDefault="00C367D3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7FD364" w14:textId="77777777" w:rsidR="00586EA7" w:rsidRDefault="00586EA7" w:rsidP="00586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Specifications are based on Architectural Fabrication, Inc. – </w:t>
      </w:r>
      <w:r w:rsidR="00EB231F">
        <w:rPr>
          <w:rFonts w:ascii="Arial" w:hAnsi="Arial" w:cs="Arial"/>
          <w:sz w:val="20"/>
          <w:szCs w:val="20"/>
        </w:rPr>
        <w:t xml:space="preserve">Louvered </w:t>
      </w:r>
      <w:r w:rsidR="0027061C">
        <w:rPr>
          <w:rFonts w:ascii="Arial" w:hAnsi="Arial" w:cs="Arial"/>
          <w:sz w:val="20"/>
          <w:szCs w:val="20"/>
        </w:rPr>
        <w:t xml:space="preserve">Sunshade. </w:t>
      </w:r>
      <w:r>
        <w:rPr>
          <w:rFonts w:ascii="Arial" w:hAnsi="Arial" w:cs="Arial"/>
          <w:sz w:val="20"/>
          <w:szCs w:val="20"/>
        </w:rPr>
        <w:t>Ar</w:t>
      </w:r>
      <w:r w:rsidR="0027061C">
        <w:rPr>
          <w:rFonts w:ascii="Arial" w:hAnsi="Arial" w:cs="Arial"/>
          <w:sz w:val="20"/>
          <w:szCs w:val="20"/>
        </w:rPr>
        <w:t xml:space="preserve">chitectural Fabrication, Inc. – </w:t>
      </w:r>
      <w:r>
        <w:rPr>
          <w:rFonts w:ascii="Arial" w:hAnsi="Arial" w:cs="Arial"/>
          <w:sz w:val="20"/>
          <w:szCs w:val="20"/>
        </w:rPr>
        <w:t>Manufacturer and Inst</w:t>
      </w:r>
      <w:r w:rsidR="0002411A">
        <w:rPr>
          <w:rFonts w:ascii="Arial" w:hAnsi="Arial" w:cs="Arial"/>
          <w:sz w:val="20"/>
          <w:szCs w:val="20"/>
        </w:rPr>
        <w:t>aller is located at 2100 E</w:t>
      </w:r>
      <w:r w:rsidR="0027061C">
        <w:rPr>
          <w:rFonts w:ascii="Arial" w:hAnsi="Arial" w:cs="Arial"/>
          <w:sz w:val="20"/>
          <w:szCs w:val="20"/>
        </w:rPr>
        <w:t>.</w:t>
      </w:r>
      <w:r w:rsidR="0002411A">
        <w:rPr>
          <w:rFonts w:ascii="Arial" w:hAnsi="Arial" w:cs="Arial"/>
          <w:sz w:val="20"/>
          <w:szCs w:val="20"/>
        </w:rPr>
        <w:t xml:space="preserve"> Richmond Ave</w:t>
      </w:r>
      <w:r w:rsidR="0027061C">
        <w:rPr>
          <w:rFonts w:ascii="Arial" w:hAnsi="Arial" w:cs="Arial"/>
          <w:sz w:val="20"/>
          <w:szCs w:val="20"/>
        </w:rPr>
        <w:t>nue,</w:t>
      </w:r>
      <w:r w:rsidR="0002411A">
        <w:rPr>
          <w:rFonts w:ascii="Arial" w:hAnsi="Arial" w:cs="Arial"/>
          <w:sz w:val="20"/>
          <w:szCs w:val="20"/>
        </w:rPr>
        <w:t xml:space="preserve"> Fort Worth</w:t>
      </w:r>
      <w:r w:rsidR="0027061C">
        <w:rPr>
          <w:rFonts w:ascii="Arial" w:hAnsi="Arial" w:cs="Arial"/>
          <w:sz w:val="20"/>
          <w:szCs w:val="20"/>
        </w:rPr>
        <w:t>,</w:t>
      </w:r>
      <w:r w:rsidR="0002411A">
        <w:rPr>
          <w:rFonts w:ascii="Arial" w:hAnsi="Arial" w:cs="Arial"/>
          <w:sz w:val="20"/>
          <w:szCs w:val="20"/>
        </w:rPr>
        <w:t xml:space="preserve"> TX 76104</w:t>
      </w:r>
      <w:r w:rsidR="0029706C">
        <w:rPr>
          <w:rFonts w:ascii="Arial" w:hAnsi="Arial" w:cs="Arial"/>
          <w:sz w:val="20"/>
          <w:szCs w:val="20"/>
        </w:rPr>
        <w:t>. 800.962.</w:t>
      </w:r>
      <w:r>
        <w:rPr>
          <w:rFonts w:ascii="Arial" w:hAnsi="Arial" w:cs="Arial"/>
          <w:sz w:val="20"/>
          <w:szCs w:val="20"/>
        </w:rPr>
        <w:t>8027</w:t>
      </w:r>
      <w:r w:rsidR="002706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7750F" w:rsidRPr="0029706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www.arch-fab.com</w:t>
        </w:r>
      </w:hyperlink>
      <w:r w:rsidRPr="0029706C">
        <w:rPr>
          <w:rFonts w:ascii="Arial" w:hAnsi="Arial" w:cs="Arial"/>
          <w:sz w:val="20"/>
          <w:szCs w:val="20"/>
        </w:rPr>
        <w:t xml:space="preserve"> </w:t>
      </w:r>
    </w:p>
    <w:p w14:paraId="75DD9631" w14:textId="77777777" w:rsidR="00586EA7" w:rsidRDefault="00586EA7" w:rsidP="00586E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7C119" w14:textId="737AE225" w:rsidR="00586EA7" w:rsidRDefault="00586EA7" w:rsidP="00586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 are acceptable assuming they comply with these specifications, are submitted based on Section 01</w:t>
      </w:r>
      <w:r w:rsidR="0027061C">
        <w:rPr>
          <w:rFonts w:ascii="Arial" w:hAnsi="Arial" w:cs="Arial"/>
          <w:sz w:val="20"/>
          <w:szCs w:val="20"/>
        </w:rPr>
        <w:t>XXX – Substitution Requirements</w:t>
      </w:r>
      <w:r>
        <w:rPr>
          <w:rFonts w:ascii="Arial" w:hAnsi="Arial" w:cs="Arial"/>
          <w:sz w:val="20"/>
          <w:szCs w:val="20"/>
        </w:rPr>
        <w:t xml:space="preserve"> and have a minimum 10 </w:t>
      </w:r>
      <w:proofErr w:type="spellStart"/>
      <w:r>
        <w:rPr>
          <w:rFonts w:ascii="Arial" w:hAnsi="Arial" w:cs="Arial"/>
          <w:sz w:val="20"/>
          <w:szCs w:val="20"/>
        </w:rPr>
        <w:t>years experience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017BA1F" w14:textId="77777777" w:rsidR="00586EA7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4BE92A" w14:textId="77777777" w:rsidR="007406C1" w:rsidRDefault="00586EA7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2.2 MATERIALS</w:t>
      </w:r>
    </w:p>
    <w:p w14:paraId="603CC90C" w14:textId="77777777" w:rsidR="00C367D3" w:rsidRDefault="00C367D3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F9C234" w14:textId="77777777" w:rsidR="007406C1" w:rsidRPr="0027061C" w:rsidRDefault="007406C1" w:rsidP="007406C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061C">
        <w:rPr>
          <w:rFonts w:ascii="Arial" w:hAnsi="Arial" w:cs="Arial"/>
          <w:sz w:val="20"/>
          <w:szCs w:val="20"/>
        </w:rPr>
        <w:t xml:space="preserve">Framing: </w:t>
      </w:r>
      <w:r w:rsidR="0029706C">
        <w:rPr>
          <w:rFonts w:ascii="Arial" w:eastAsia="Times New Roman" w:hAnsi="Arial" w:cs="Arial"/>
          <w:sz w:val="20"/>
          <w:szCs w:val="20"/>
        </w:rPr>
        <w:t>Aluminum flat bar with</w:t>
      </w:r>
      <w:r w:rsidR="00DF7426" w:rsidRPr="0027061C">
        <w:rPr>
          <w:rFonts w:ascii="Arial" w:eastAsia="Times New Roman" w:hAnsi="Arial" w:cs="Arial"/>
          <w:sz w:val="20"/>
          <w:szCs w:val="20"/>
        </w:rPr>
        <w:t xml:space="preserve"> minimum nominal thickness .</w:t>
      </w:r>
      <w:r w:rsidR="00B7750F" w:rsidRPr="0027061C">
        <w:rPr>
          <w:rFonts w:ascii="Arial" w:eastAsia="Times New Roman" w:hAnsi="Arial" w:cs="Arial"/>
          <w:sz w:val="20"/>
          <w:szCs w:val="20"/>
        </w:rPr>
        <w:t>250</w:t>
      </w:r>
      <w:r w:rsidR="0027061C">
        <w:rPr>
          <w:rFonts w:ascii="Arial" w:eastAsia="Times New Roman" w:hAnsi="Arial" w:cs="Arial"/>
          <w:sz w:val="20"/>
          <w:szCs w:val="20"/>
        </w:rPr>
        <w:t xml:space="preserve"> in.</w:t>
      </w:r>
    </w:p>
    <w:p w14:paraId="069C0D80" w14:textId="77777777" w:rsidR="007406C1" w:rsidRDefault="007406C1" w:rsidP="007406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BE9B5A" w14:textId="77777777" w:rsidR="00586EA7" w:rsidRPr="0027061C" w:rsidRDefault="0027061C" w:rsidP="00586E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Infill: </w:t>
      </w:r>
      <w:r w:rsidR="00C52D2B">
        <w:rPr>
          <w:rFonts w:ascii="Arial" w:hAnsi="Arial" w:cs="Arial"/>
          <w:sz w:val="20"/>
          <w:szCs w:val="20"/>
        </w:rPr>
        <w:t>Aluminum airfoil, shutter blade, z-blade, round tube and half round tube</w:t>
      </w:r>
      <w:r w:rsidR="0029706C">
        <w:rPr>
          <w:rFonts w:ascii="Arial" w:hAnsi="Arial" w:cs="Arial"/>
          <w:sz w:val="20"/>
          <w:szCs w:val="20"/>
        </w:rPr>
        <w:t xml:space="preserve"> alloy </w:t>
      </w:r>
      <w:r w:rsidR="007406C1" w:rsidRPr="0027061C">
        <w:rPr>
          <w:rFonts w:ascii="Arial" w:eastAsia="Times New Roman" w:hAnsi="Arial" w:cs="Arial"/>
          <w:sz w:val="20"/>
          <w:szCs w:val="20"/>
        </w:rPr>
        <w:t>6063-T5</w:t>
      </w:r>
      <w:r w:rsidR="00DF7426" w:rsidRPr="0027061C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4A5A99D8" w14:textId="77777777" w:rsidR="00586EA7" w:rsidRPr="00C367D3" w:rsidRDefault="00586EA7" w:rsidP="00C3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CCDE9F" w14:textId="77777777" w:rsidR="00C52D2B" w:rsidRDefault="0027061C" w:rsidP="00C52D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Connections: </w:t>
      </w:r>
      <w:r w:rsidR="00586EA7">
        <w:rPr>
          <w:rFonts w:ascii="Arial" w:hAnsi="Arial" w:cs="Arial"/>
          <w:sz w:val="20"/>
          <w:szCs w:val="20"/>
        </w:rPr>
        <w:t xml:space="preserve">Wall plates and </w:t>
      </w:r>
      <w:r w:rsidR="00DF7426">
        <w:rPr>
          <w:rFonts w:ascii="Arial" w:hAnsi="Arial" w:cs="Arial"/>
          <w:sz w:val="20"/>
          <w:szCs w:val="20"/>
        </w:rPr>
        <w:t>sunshade</w:t>
      </w:r>
      <w:r w:rsidR="00586EA7">
        <w:rPr>
          <w:rFonts w:ascii="Arial" w:hAnsi="Arial" w:cs="Arial"/>
          <w:sz w:val="20"/>
          <w:szCs w:val="20"/>
        </w:rPr>
        <w:t xml:space="preserve"> mounting brackets are to be aluminum.</w:t>
      </w:r>
      <w:r>
        <w:rPr>
          <w:rFonts w:ascii="Arial" w:hAnsi="Arial" w:cs="Arial"/>
          <w:sz w:val="20"/>
          <w:szCs w:val="20"/>
        </w:rPr>
        <w:t xml:space="preserve"> </w:t>
      </w:r>
      <w:r w:rsidR="00DF7426">
        <w:rPr>
          <w:rFonts w:ascii="Arial" w:hAnsi="Arial" w:cs="Arial"/>
          <w:sz w:val="20"/>
          <w:szCs w:val="20"/>
        </w:rPr>
        <w:t>Optional continuous steel embed system, depending on wall conditions.</w:t>
      </w:r>
    </w:p>
    <w:p w14:paraId="1E852380" w14:textId="77777777" w:rsidR="00C52D2B" w:rsidRPr="00C52D2B" w:rsidRDefault="00C52D2B" w:rsidP="00C52D2B">
      <w:pPr>
        <w:pStyle w:val="ListParagraph"/>
        <w:rPr>
          <w:rFonts w:ascii="Arial" w:hAnsi="Arial" w:cs="Arial"/>
          <w:sz w:val="20"/>
          <w:szCs w:val="20"/>
        </w:rPr>
      </w:pPr>
    </w:p>
    <w:p w14:paraId="74AF9FA4" w14:textId="77777777" w:rsidR="00C52D2B" w:rsidRDefault="00C52D2B" w:rsidP="00C52D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Assembly Fasteners: Nuts, bolts, washers and screws to be stainless steel to suit application and per pre-engineered sunshade load requirements. </w:t>
      </w:r>
    </w:p>
    <w:p w14:paraId="108C54FC" w14:textId="77777777" w:rsidR="00C52D2B" w:rsidRPr="00C52D2B" w:rsidRDefault="00C52D2B" w:rsidP="00C52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50B81" w14:textId="77777777" w:rsidR="0027061C" w:rsidRDefault="00C52D2B" w:rsidP="00270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Anchors and Supports</w:t>
      </w:r>
      <w:r w:rsidR="002706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Anchors, n</w:t>
      </w:r>
      <w:r w:rsidR="0027061C">
        <w:rPr>
          <w:rFonts w:ascii="Arial" w:hAnsi="Arial" w:cs="Arial"/>
          <w:sz w:val="20"/>
          <w:szCs w:val="20"/>
        </w:rPr>
        <w:t>uts, bolts</w:t>
      </w:r>
      <w:r>
        <w:rPr>
          <w:rFonts w:ascii="Arial" w:hAnsi="Arial" w:cs="Arial"/>
          <w:sz w:val="20"/>
          <w:szCs w:val="20"/>
        </w:rPr>
        <w:t>, washers</w:t>
      </w:r>
      <w:r w:rsidR="0027061C">
        <w:rPr>
          <w:rFonts w:ascii="Arial" w:hAnsi="Arial" w:cs="Arial"/>
          <w:sz w:val="20"/>
          <w:szCs w:val="20"/>
        </w:rPr>
        <w:t xml:space="preserve"> and pipe spacers to be zinc plated or galvanized steel required to suit applicati</w:t>
      </w:r>
      <w:r w:rsidR="0029706C">
        <w:rPr>
          <w:rFonts w:ascii="Arial" w:hAnsi="Arial" w:cs="Arial"/>
          <w:sz w:val="20"/>
          <w:szCs w:val="20"/>
        </w:rPr>
        <w:t>on and per pre-engineered sunshade</w:t>
      </w:r>
      <w:r w:rsidR="0027061C">
        <w:rPr>
          <w:rFonts w:ascii="Arial" w:hAnsi="Arial" w:cs="Arial"/>
          <w:sz w:val="20"/>
          <w:szCs w:val="20"/>
        </w:rPr>
        <w:t xml:space="preserve"> load requirements.</w:t>
      </w:r>
    </w:p>
    <w:p w14:paraId="40B74A66" w14:textId="77777777" w:rsidR="00586EA7" w:rsidRDefault="00586EA7" w:rsidP="00586E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E12AE" w14:textId="77777777" w:rsidR="00586EA7" w:rsidRDefault="00586EA7" w:rsidP="00586E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Powder-coat finish per ASTM D 3451, complying with finish manufacturer's written instructions for surface preparation including pr</w:t>
      </w:r>
      <w:r w:rsidR="0027061C">
        <w:rPr>
          <w:rFonts w:ascii="Arial" w:hAnsi="Arial" w:cs="Arial"/>
          <w:sz w:val="20"/>
          <w:szCs w:val="20"/>
        </w:rPr>
        <w:t>etreatment, application, baking</w:t>
      </w:r>
      <w:r>
        <w:rPr>
          <w:rFonts w:ascii="Arial" w:hAnsi="Arial" w:cs="Arial"/>
          <w:sz w:val="20"/>
          <w:szCs w:val="20"/>
        </w:rPr>
        <w:t xml:space="preserve"> a</w:t>
      </w:r>
      <w:r w:rsidR="0027061C">
        <w:rPr>
          <w:rFonts w:ascii="Arial" w:hAnsi="Arial" w:cs="Arial"/>
          <w:sz w:val="20"/>
          <w:szCs w:val="20"/>
        </w:rPr>
        <w:t xml:space="preserve">nd minimum dry film thickness. </w:t>
      </w:r>
      <w:r>
        <w:rPr>
          <w:rFonts w:ascii="Arial" w:hAnsi="Arial" w:cs="Arial"/>
          <w:sz w:val="20"/>
          <w:szCs w:val="20"/>
        </w:rPr>
        <w:t>Color to be selected from standard color line.</w:t>
      </w:r>
    </w:p>
    <w:p w14:paraId="7B0F7F10" w14:textId="77777777" w:rsidR="00DF7426" w:rsidRPr="00DF7426" w:rsidRDefault="00DF7426" w:rsidP="00DF7426">
      <w:pPr>
        <w:pStyle w:val="ListParagraph"/>
        <w:rPr>
          <w:rFonts w:ascii="Arial" w:hAnsi="Arial" w:cs="Arial"/>
          <w:sz w:val="20"/>
          <w:szCs w:val="20"/>
        </w:rPr>
      </w:pPr>
    </w:p>
    <w:p w14:paraId="1C8A918F" w14:textId="77777777" w:rsidR="00586EA7" w:rsidRDefault="0027061C" w:rsidP="00586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="00586EA7">
        <w:rPr>
          <w:rFonts w:ascii="Arial" w:hAnsi="Arial" w:cs="Arial"/>
          <w:b/>
          <w:bCs/>
          <w:sz w:val="20"/>
          <w:szCs w:val="20"/>
        </w:rPr>
        <w:t>EXECUTION</w:t>
      </w:r>
    </w:p>
    <w:p w14:paraId="0AFEE176" w14:textId="77777777" w:rsidR="00586EA7" w:rsidRPr="00EC7EBC" w:rsidRDefault="00586EA7" w:rsidP="00C367D3">
      <w:pPr>
        <w:pStyle w:val="ART"/>
      </w:pPr>
      <w:r w:rsidRPr="00EC7EBC">
        <w:t>FABRICATION</w:t>
      </w:r>
    </w:p>
    <w:p w14:paraId="6F1C1C6B" w14:textId="77777777" w:rsidR="00EC7EBC" w:rsidRPr="00EC7EBC" w:rsidRDefault="0027061C" w:rsidP="00C367D3">
      <w:pPr>
        <w:pStyle w:val="ART"/>
        <w:numPr>
          <w:ilvl w:val="0"/>
          <w:numId w:val="12"/>
        </w:numPr>
        <w:outlineLvl w:val="0"/>
        <w:rPr>
          <w:b w:val="0"/>
        </w:rPr>
      </w:pPr>
      <w:r>
        <w:rPr>
          <w:b w:val="0"/>
        </w:rPr>
        <w:t>Preassemble sunshades</w:t>
      </w:r>
      <w:r w:rsidR="00EC7EBC" w:rsidRPr="00EC7EBC">
        <w:rPr>
          <w:b w:val="0"/>
        </w:rPr>
        <w:t xml:space="preserve"> in the shop to greatest extent </w:t>
      </w:r>
      <w:r>
        <w:rPr>
          <w:b w:val="0"/>
        </w:rPr>
        <w:t xml:space="preserve">possible. </w:t>
      </w:r>
      <w:r w:rsidR="00EC7EBC" w:rsidRPr="00EC7EBC">
        <w:rPr>
          <w:b w:val="0"/>
        </w:rPr>
        <w:t>Disassemble units only as necessary for ship</w:t>
      </w:r>
      <w:r>
        <w:rPr>
          <w:b w:val="0"/>
        </w:rPr>
        <w:t xml:space="preserve">ping and handling limitations. </w:t>
      </w:r>
      <w:r w:rsidR="00921D35">
        <w:rPr>
          <w:b w:val="0"/>
        </w:rPr>
        <w:t xml:space="preserve">Clearly </w:t>
      </w:r>
      <w:r w:rsidR="00EC7EBC" w:rsidRPr="00EC7EBC">
        <w:rPr>
          <w:b w:val="0"/>
        </w:rPr>
        <w:t>mark units for reassembly and coordinated installation.</w:t>
      </w:r>
    </w:p>
    <w:p w14:paraId="247B29B0" w14:textId="77777777" w:rsidR="00EC7EBC" w:rsidRPr="00EC7EBC" w:rsidRDefault="00C52D2B" w:rsidP="00EC7EBC">
      <w:pPr>
        <w:pStyle w:val="ART"/>
        <w:numPr>
          <w:ilvl w:val="0"/>
          <w:numId w:val="12"/>
        </w:numPr>
        <w:rPr>
          <w:b w:val="0"/>
        </w:rPr>
      </w:pPr>
      <w:r>
        <w:rPr>
          <w:b w:val="0"/>
        </w:rPr>
        <w:t>Infill</w:t>
      </w:r>
      <w:r w:rsidR="00EC7EBC" w:rsidRPr="00EC7EBC">
        <w:rPr>
          <w:b w:val="0"/>
        </w:rPr>
        <w:t xml:space="preserve"> </w:t>
      </w:r>
      <w:r w:rsidR="00EC7EBC">
        <w:rPr>
          <w:b w:val="0"/>
        </w:rPr>
        <w:t>must be</w:t>
      </w:r>
      <w:r w:rsidR="00EC7EBC" w:rsidRPr="00EC7EBC">
        <w:rPr>
          <w:b w:val="0"/>
        </w:rPr>
        <w:t xml:space="preserve"> mechanically fastened </w:t>
      </w:r>
      <w:r w:rsidR="00EC7EBC">
        <w:rPr>
          <w:b w:val="0"/>
        </w:rPr>
        <w:t>in order to</w:t>
      </w:r>
      <w:r>
        <w:rPr>
          <w:b w:val="0"/>
        </w:rPr>
        <w:t xml:space="preserve"> easily replace individual parts</w:t>
      </w:r>
      <w:r w:rsidR="00EC7EBC">
        <w:rPr>
          <w:b w:val="0"/>
        </w:rPr>
        <w:t xml:space="preserve"> </w:t>
      </w:r>
      <w:r w:rsidR="0027061C">
        <w:rPr>
          <w:b w:val="0"/>
        </w:rPr>
        <w:t>due to damage</w:t>
      </w:r>
      <w:r w:rsidR="00EC7EBC">
        <w:rPr>
          <w:b w:val="0"/>
        </w:rPr>
        <w:t xml:space="preserve"> </w:t>
      </w:r>
      <w:r w:rsidR="0027061C">
        <w:rPr>
          <w:b w:val="0"/>
        </w:rPr>
        <w:t xml:space="preserve">sustained during shipping or </w:t>
      </w:r>
      <w:r w:rsidR="00EC7EBC">
        <w:rPr>
          <w:b w:val="0"/>
        </w:rPr>
        <w:t>installation.</w:t>
      </w:r>
    </w:p>
    <w:p w14:paraId="23FAFF4F" w14:textId="77777777" w:rsidR="00586EA7" w:rsidRDefault="00586EA7" w:rsidP="00586EA7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6F214047" w14:textId="77777777" w:rsidR="00586EA7" w:rsidRDefault="00586EA7" w:rsidP="00586EA7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3.2 INSTALLATION</w:t>
      </w:r>
    </w:p>
    <w:p w14:paraId="69ABE80A" w14:textId="77777777" w:rsidR="00586EA7" w:rsidRDefault="00586EA7" w:rsidP="00586EA7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 </w:t>
      </w:r>
      <w:r w:rsidR="0027061C">
        <w:rPr>
          <w:rFonts w:ascii="Arial" w:hAnsi="Arial" w:cs="Arial"/>
        </w:rPr>
        <w:t xml:space="preserve">sunshades </w:t>
      </w:r>
      <w:r>
        <w:rPr>
          <w:rFonts w:ascii="Arial" w:hAnsi="Arial" w:cs="Arial"/>
        </w:rPr>
        <w:t>per manufacturer’s written in</w:t>
      </w:r>
      <w:r w:rsidR="0027061C">
        <w:rPr>
          <w:rFonts w:ascii="Arial" w:hAnsi="Arial" w:cs="Arial"/>
        </w:rPr>
        <w:t>structions and as indicated on d</w:t>
      </w:r>
      <w:r>
        <w:rPr>
          <w:rFonts w:ascii="Arial" w:hAnsi="Arial" w:cs="Arial"/>
        </w:rPr>
        <w:t xml:space="preserve">rawings. </w:t>
      </w:r>
    </w:p>
    <w:p w14:paraId="02F1B867" w14:textId="77777777" w:rsidR="00586EA7" w:rsidRPr="0027061C" w:rsidRDefault="00586EA7" w:rsidP="0027061C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 and place </w:t>
      </w:r>
      <w:r w:rsidR="006C38D3">
        <w:rPr>
          <w:rFonts w:ascii="Arial" w:hAnsi="Arial" w:cs="Arial"/>
        </w:rPr>
        <w:t>sunshades</w:t>
      </w:r>
      <w:r w:rsidR="0027061C">
        <w:rPr>
          <w:rFonts w:ascii="Arial" w:hAnsi="Arial" w:cs="Arial"/>
        </w:rPr>
        <w:t xml:space="preserve"> level, plumb</w:t>
      </w:r>
      <w:r>
        <w:rPr>
          <w:rFonts w:ascii="Arial" w:hAnsi="Arial" w:cs="Arial"/>
        </w:rPr>
        <w:t xml:space="preserve"> and at indicated alignment with adjacent work.</w:t>
      </w:r>
    </w:p>
    <w:p w14:paraId="0E3C090F" w14:textId="77777777" w:rsidR="00586EA7" w:rsidRDefault="00586EA7" w:rsidP="00586EA7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Repair damaged finishes so no eviden</w:t>
      </w:r>
      <w:r w:rsidR="0027061C">
        <w:rPr>
          <w:rFonts w:ascii="Arial" w:hAnsi="Arial" w:cs="Arial"/>
        </w:rPr>
        <w:t xml:space="preserve">ce remains of corrective work. </w:t>
      </w:r>
      <w:r>
        <w:rPr>
          <w:rFonts w:ascii="Arial" w:hAnsi="Arial" w:cs="Arial"/>
        </w:rPr>
        <w:t xml:space="preserve">Return items </w:t>
      </w:r>
      <w:r w:rsidR="0027061C">
        <w:rPr>
          <w:rFonts w:ascii="Arial" w:hAnsi="Arial" w:cs="Arial"/>
        </w:rPr>
        <w:t xml:space="preserve">to the factory </w:t>
      </w:r>
      <w:r>
        <w:rPr>
          <w:rFonts w:ascii="Arial" w:hAnsi="Arial" w:cs="Arial"/>
        </w:rPr>
        <w:t>that cannot be refini</w:t>
      </w:r>
      <w:r w:rsidR="0027061C">
        <w:rPr>
          <w:rFonts w:ascii="Arial" w:hAnsi="Arial" w:cs="Arial"/>
        </w:rPr>
        <w:t>shed in the field</w:t>
      </w:r>
      <w:r>
        <w:rPr>
          <w:rFonts w:ascii="Arial" w:hAnsi="Arial" w:cs="Arial"/>
        </w:rPr>
        <w:t>. Make required alterations and refinish entire unit or provide new units.</w:t>
      </w:r>
    </w:p>
    <w:p w14:paraId="30343C6D" w14:textId="77777777" w:rsidR="00586EA7" w:rsidRDefault="00586EA7" w:rsidP="00586EA7">
      <w:pPr>
        <w:pStyle w:val="PR1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Protect galvanized and nonferrous-metal surfaces from corrosion or galv</w:t>
      </w:r>
      <w:r w:rsidR="0027061C">
        <w:rPr>
          <w:rFonts w:ascii="Arial" w:hAnsi="Arial" w:cs="Arial"/>
        </w:rPr>
        <w:t xml:space="preserve">anic action by applying a </w:t>
      </w:r>
      <w:r>
        <w:rPr>
          <w:rFonts w:ascii="Arial" w:hAnsi="Arial" w:cs="Arial"/>
        </w:rPr>
        <w:t>coating of bituminou</w:t>
      </w:r>
      <w:r w:rsidR="007406C1">
        <w:rPr>
          <w:rFonts w:ascii="Arial" w:hAnsi="Arial" w:cs="Arial"/>
        </w:rPr>
        <w:t xml:space="preserve">s paint or elastomeric coating </w:t>
      </w:r>
      <w:r>
        <w:rPr>
          <w:rFonts w:ascii="Arial" w:hAnsi="Arial" w:cs="Arial"/>
        </w:rPr>
        <w:t>on surfaces that will be in contact with concrete, masonry, or dissimilar metals.</w:t>
      </w:r>
      <w:r w:rsidR="0027061C">
        <w:rPr>
          <w:rFonts w:ascii="Arial" w:hAnsi="Arial" w:cs="Arial"/>
        </w:rPr>
        <w:t xml:space="preserve"> </w:t>
      </w:r>
      <w:r w:rsidR="006C38D3">
        <w:rPr>
          <w:rFonts w:ascii="Arial" w:hAnsi="Arial" w:cs="Arial"/>
        </w:rPr>
        <w:t>Use of nylon washers and neoprene pads are approved.</w:t>
      </w:r>
    </w:p>
    <w:p w14:paraId="5EFEE003" w14:textId="77777777" w:rsidR="00586EA7" w:rsidRDefault="00586EA7" w:rsidP="00586EA7">
      <w:pPr>
        <w:pStyle w:val="EOS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p w14:paraId="72E4B8B1" w14:textId="77777777" w:rsidR="00B51651" w:rsidRPr="000D583D" w:rsidRDefault="00B51651"/>
    <w:sectPr w:rsidR="00B51651" w:rsidRPr="000D583D" w:rsidSect="00B5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C2D2B"/>
    <w:multiLevelType w:val="hybridMultilevel"/>
    <w:tmpl w:val="D8E08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46FCBC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BC8650">
      <w:start w:val="1"/>
      <w:numFmt w:val="decimal"/>
      <w:pStyle w:val="SUT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D817AF"/>
    <w:multiLevelType w:val="hybridMultilevel"/>
    <w:tmpl w:val="FA367A4E"/>
    <w:lvl w:ilvl="0" w:tplc="9000F774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90814"/>
    <w:multiLevelType w:val="multilevel"/>
    <w:tmpl w:val="C264F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654954"/>
    <w:multiLevelType w:val="hybridMultilevel"/>
    <w:tmpl w:val="49664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F93945"/>
    <w:multiLevelType w:val="hybridMultilevel"/>
    <w:tmpl w:val="C210507C"/>
    <w:lvl w:ilvl="0" w:tplc="00446F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83D"/>
    <w:rsid w:val="00005748"/>
    <w:rsid w:val="0002411A"/>
    <w:rsid w:val="00042B77"/>
    <w:rsid w:val="000945E6"/>
    <w:rsid w:val="000D583D"/>
    <w:rsid w:val="00155214"/>
    <w:rsid w:val="00217C22"/>
    <w:rsid w:val="0027061C"/>
    <w:rsid w:val="0029706C"/>
    <w:rsid w:val="00301F7F"/>
    <w:rsid w:val="00436E88"/>
    <w:rsid w:val="004D7FC5"/>
    <w:rsid w:val="00537F49"/>
    <w:rsid w:val="00586EA7"/>
    <w:rsid w:val="006C38D3"/>
    <w:rsid w:val="007406C1"/>
    <w:rsid w:val="007644A4"/>
    <w:rsid w:val="00783B39"/>
    <w:rsid w:val="007A4020"/>
    <w:rsid w:val="007D123C"/>
    <w:rsid w:val="007E679C"/>
    <w:rsid w:val="00803828"/>
    <w:rsid w:val="008512F1"/>
    <w:rsid w:val="00921D35"/>
    <w:rsid w:val="00AA4724"/>
    <w:rsid w:val="00AD0BAF"/>
    <w:rsid w:val="00AD58A8"/>
    <w:rsid w:val="00B51651"/>
    <w:rsid w:val="00B7750F"/>
    <w:rsid w:val="00C10EA3"/>
    <w:rsid w:val="00C367D3"/>
    <w:rsid w:val="00C52D2B"/>
    <w:rsid w:val="00DE1D89"/>
    <w:rsid w:val="00DE5F72"/>
    <w:rsid w:val="00DF7426"/>
    <w:rsid w:val="00EB231F"/>
    <w:rsid w:val="00EC7EB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CFAA7"/>
  <w15:docId w15:val="{D80A7C37-F8DD-2A45-8108-9184C91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586E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EA7"/>
    <w:pPr>
      <w:ind w:left="720"/>
      <w:contextualSpacing/>
    </w:pPr>
  </w:style>
  <w:style w:type="paragraph" w:customStyle="1" w:styleId="PR1">
    <w:name w:val="PR1"/>
    <w:basedOn w:val="Normal"/>
    <w:autoRedefine/>
    <w:qFormat/>
    <w:rsid w:val="00586EA7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86EA7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86EA7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EC7EBC"/>
    <w:pPr>
      <w:numPr>
        <w:ilvl w:val="1"/>
        <w:numId w:val="11"/>
      </w:num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2">
    <w:name w:val="PR2"/>
    <w:basedOn w:val="Normal"/>
    <w:autoRedefine/>
    <w:qFormat/>
    <w:rsid w:val="00586EA7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86EA7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86EA7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86EA7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86EA7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19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8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4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7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7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-f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Peterson</dc:creator>
  <cp:lastModifiedBy>Marley Fischer</cp:lastModifiedBy>
  <cp:revision>7</cp:revision>
  <dcterms:created xsi:type="dcterms:W3CDTF">2017-03-27T18:26:00Z</dcterms:created>
  <dcterms:modified xsi:type="dcterms:W3CDTF">2022-02-24T16:05:00Z</dcterms:modified>
</cp:coreProperties>
</file>