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12B3" w14:textId="77777777" w:rsidR="00E96655" w:rsidRPr="00092242" w:rsidRDefault="00BC6529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10700</w:t>
      </w:r>
    </w:p>
    <w:p w14:paraId="041D2CC1" w14:textId="10904616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ALUMINUM CANOPY</w:t>
      </w:r>
    </w:p>
    <w:p w14:paraId="6E4AA5C7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C6AFF0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5872B7" w14:textId="77777777" w:rsidR="00500A2C" w:rsidRPr="00092242" w:rsidRDefault="0041214A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>–</w:t>
      </w:r>
      <w:r w:rsidRPr="00092242">
        <w:rPr>
          <w:rFonts w:ascii="Arial" w:hAnsi="Arial" w:cs="Arial"/>
          <w:b/>
          <w:bCs/>
          <w:sz w:val="20"/>
          <w:szCs w:val="20"/>
        </w:rPr>
        <w:t xml:space="preserve"> GENERAL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3598DE" w14:textId="77777777" w:rsidR="00500A2C" w:rsidRPr="00092242" w:rsidRDefault="00500A2C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83653F0" w14:textId="77777777" w:rsidR="00D949F8" w:rsidRPr="00092242" w:rsidRDefault="00D949F8" w:rsidP="00D949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573F0F7A" w14:textId="45C7EFF6" w:rsidR="00D949F8" w:rsidRPr="00092242" w:rsidRDefault="004A355C" w:rsidP="002E016A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Section Includes: </w:t>
      </w:r>
      <w:r w:rsidR="00B27CCB">
        <w:rPr>
          <w:rFonts w:ascii="Arial" w:hAnsi="Arial" w:cs="Arial"/>
        </w:rPr>
        <w:t>Atlas Canopy</w:t>
      </w:r>
    </w:p>
    <w:p w14:paraId="2941ADBD" w14:textId="77777777" w:rsidR="00D949F8" w:rsidRPr="00092242" w:rsidRDefault="00D949F8" w:rsidP="002E016A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</w:t>
      </w:r>
      <w:r w:rsidR="002E016A" w:rsidRPr="00092242">
        <w:rPr>
          <w:rFonts w:ascii="Arial" w:hAnsi="Arial" w:cs="Arial"/>
        </w:rPr>
        <w:t xml:space="preserve"> </w:t>
      </w:r>
      <w:r w:rsidRPr="00092242">
        <w:rPr>
          <w:rFonts w:ascii="Arial" w:hAnsi="Arial" w:cs="Arial"/>
        </w:rPr>
        <w:t>Division 1 – General Requirements</w:t>
      </w:r>
    </w:p>
    <w:p w14:paraId="57B2ED25" w14:textId="77777777" w:rsidR="00500A2C" w:rsidRPr="00092242" w:rsidRDefault="002E016A" w:rsidP="00D949F8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06409B35" w14:textId="77777777" w:rsidR="00500A2C" w:rsidRPr="00092242" w:rsidRDefault="00500A2C" w:rsidP="002E016A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14:paraId="778EEFE8" w14:textId="77777777" w:rsidR="002E016A" w:rsidRPr="00092242" w:rsidRDefault="002E016A" w:rsidP="002E016A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14:paraId="41968534" w14:textId="1002877C" w:rsidR="002E016A" w:rsidRPr="00092242" w:rsidRDefault="00C160F2" w:rsidP="002E016A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874852">
        <w:rPr>
          <w:rFonts w:ascii="Arial" w:hAnsi="Arial" w:cs="Arial"/>
        </w:rPr>
        <w:t>Aluminum</w:t>
      </w:r>
    </w:p>
    <w:p w14:paraId="4680E159" w14:textId="77777777" w:rsidR="00500A2C" w:rsidRPr="00092242" w:rsidRDefault="00C06B12" w:rsidP="002E016A">
      <w:pPr>
        <w:pStyle w:val="PR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14:paraId="5951FBC8" w14:textId="2E3EEF07" w:rsidR="00500A2C" w:rsidRDefault="00C06B12" w:rsidP="002E016A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</w:t>
      </w:r>
      <w:r w:rsidR="004A355C">
        <w:rPr>
          <w:rFonts w:ascii="Arial" w:hAnsi="Arial" w:cs="Arial"/>
        </w:rPr>
        <w:t>inum f</w:t>
      </w:r>
      <w:r w:rsidR="00874852">
        <w:rPr>
          <w:rFonts w:ascii="Arial" w:hAnsi="Arial" w:cs="Arial"/>
        </w:rPr>
        <w:t>inishes AAMA 2603 Powder C</w:t>
      </w:r>
      <w:r>
        <w:rPr>
          <w:rFonts w:ascii="Arial" w:hAnsi="Arial" w:cs="Arial"/>
        </w:rPr>
        <w:t>oat</w:t>
      </w:r>
    </w:p>
    <w:p w14:paraId="39350970" w14:textId="7E736121" w:rsidR="00C06B12" w:rsidRDefault="00874852" w:rsidP="002E016A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</w:t>
      </w:r>
      <w:r w:rsidR="00C06B12">
        <w:rPr>
          <w:rFonts w:ascii="Arial" w:hAnsi="Arial" w:cs="Arial"/>
        </w:rPr>
        <w:t>ynar</w:t>
      </w:r>
      <w:proofErr w:type="spellEnd"/>
    </w:p>
    <w:p w14:paraId="42B7E91A" w14:textId="75C747CE" w:rsidR="00C06B12" w:rsidRPr="00092242" w:rsidRDefault="00874852" w:rsidP="002E016A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</w:t>
      </w:r>
      <w:r w:rsidR="00C06B12">
        <w:rPr>
          <w:rFonts w:ascii="Arial" w:hAnsi="Arial" w:cs="Arial"/>
        </w:rPr>
        <w:t>nodize</w:t>
      </w:r>
    </w:p>
    <w:p w14:paraId="24765500" w14:textId="77777777" w:rsidR="00500A2C" w:rsidRPr="00092242" w:rsidRDefault="00500A2C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65E36" w14:textId="77777777" w:rsidR="00874852" w:rsidRPr="00092242" w:rsidRDefault="00874852" w:rsidP="0087485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72492731" w14:textId="77777777" w:rsidR="00874852" w:rsidRPr="003066EE" w:rsidRDefault="00874852" w:rsidP="00874852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Submit within 15 days after contract award.</w:t>
      </w:r>
    </w:p>
    <w:p w14:paraId="7B717104" w14:textId="256FC4CA" w:rsidR="00874852" w:rsidRPr="003066EE" w:rsidRDefault="00874852" w:rsidP="00874852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Shop Drawings: Indicate size, material and finish. Include plan elevation pages to clearly outline canopy locations. Include installation procedures, details of joints, attachments and clearances. P</w:t>
      </w:r>
      <w:r w:rsidR="00B27CCB">
        <w:rPr>
          <w:rFonts w:ascii="Arial" w:hAnsi="Arial" w:cs="Arial"/>
        </w:rPr>
        <w:t>rovide lead time for product and note possible conflicts with</w:t>
      </w:r>
      <w:r>
        <w:rPr>
          <w:rFonts w:ascii="Arial" w:hAnsi="Arial" w:cs="Arial"/>
        </w:rPr>
        <w:t xml:space="preserve"> standard line.</w:t>
      </w:r>
    </w:p>
    <w:p w14:paraId="4A09AE26" w14:textId="04C70CA6" w:rsidR="00874852" w:rsidRPr="00092242" w:rsidRDefault="00B27CCB" w:rsidP="00874852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874852">
        <w:rPr>
          <w:rFonts w:ascii="Arial" w:hAnsi="Arial" w:cs="Arial"/>
        </w:rPr>
        <w:t>olor charts showing manufacturer’s full range of colors from standard line.</w:t>
      </w:r>
    </w:p>
    <w:p w14:paraId="53E18BF9" w14:textId="77777777" w:rsidR="0041214A" w:rsidRPr="00092242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39FC9" w14:textId="77777777" w:rsidR="0041214A" w:rsidRPr="00092242" w:rsidRDefault="004A355C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14:paraId="01D58AB6" w14:textId="77777777" w:rsidR="002E016A" w:rsidRPr="00092242" w:rsidRDefault="002E016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FE6C55" w14:textId="77777777" w:rsidR="00874852" w:rsidRPr="003066EE" w:rsidRDefault="00874852" w:rsidP="0087485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14:paraId="168EC17D" w14:textId="253D8741" w:rsidR="00874852" w:rsidRPr="003066EE" w:rsidRDefault="00874852" w:rsidP="00874852">
      <w:pPr>
        <w:pStyle w:val="PR1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Specifications are based on Architectural Fabrication</w:t>
      </w:r>
      <w:r w:rsidR="00B27CCB">
        <w:rPr>
          <w:rFonts w:ascii="Arial" w:hAnsi="Arial" w:cs="Arial"/>
        </w:rPr>
        <w:t>, Inc. – Atlas Canopy.</w:t>
      </w:r>
      <w:r>
        <w:rPr>
          <w:rFonts w:ascii="Arial" w:hAnsi="Arial" w:cs="Arial"/>
        </w:rPr>
        <w:t xml:space="preserve"> Architectural Fabrication, Inc. – Manufacturer and Installer is located at 2100 E. Richmond Avenue, Fort Worth, TX 76104. 800.962.8027. </w:t>
      </w:r>
      <w:hyperlink r:id="rId7" w:history="1">
        <w:r w:rsidRPr="00F34F0A">
          <w:rPr>
            <w:rStyle w:val="Hyperlink"/>
            <w:rFonts w:ascii="Arial" w:hAnsi="Arial" w:cs="Arial"/>
            <w:color w:val="auto"/>
            <w:u w:val="none"/>
          </w:rPr>
          <w:t>www.arch-fab.com</w:t>
        </w:r>
      </w:hyperlink>
    </w:p>
    <w:p w14:paraId="7DA18C42" w14:textId="77777777" w:rsidR="00874852" w:rsidRPr="00F34F0A" w:rsidRDefault="00874852" w:rsidP="00874852">
      <w:pPr>
        <w:pStyle w:val="PR1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Substitutions are acceptable assuming they comply with these specifications, are submitted based on Section 01XXX – Substitution Requirements and have a minimum 10 years’ experience.</w:t>
      </w:r>
    </w:p>
    <w:p w14:paraId="4A20D95B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63F6E" w14:textId="77777777" w:rsidR="00874852" w:rsidRPr="003066EE" w:rsidRDefault="00874852" w:rsidP="0087485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2DDC3342" w14:textId="16B35526" w:rsidR="00874852" w:rsidRPr="0087485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Framing: Aluminum gutter beams, clip angles: 6063 alloy extruded aluminum</w:t>
      </w:r>
    </w:p>
    <w:p w14:paraId="3AC445B7" w14:textId="0D7DD6DC" w:rsidR="00874852" w:rsidRPr="0087485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Soffits: Pac-Clad, </w:t>
      </w:r>
      <w:proofErr w:type="spellStart"/>
      <w:r>
        <w:rPr>
          <w:rFonts w:ascii="Arial" w:hAnsi="Arial" w:cs="Arial"/>
        </w:rPr>
        <w:t>Berridge</w:t>
      </w:r>
      <w:proofErr w:type="spellEnd"/>
      <w:r>
        <w:rPr>
          <w:rFonts w:ascii="Arial" w:hAnsi="Arial" w:cs="Arial"/>
        </w:rPr>
        <w:t xml:space="preserve"> or equal Pre-finished </w:t>
      </w:r>
      <w:proofErr w:type="spellStart"/>
      <w:r>
        <w:rPr>
          <w:rFonts w:ascii="Arial" w:hAnsi="Arial" w:cs="Arial"/>
        </w:rPr>
        <w:t>Kynar</w:t>
      </w:r>
      <w:proofErr w:type="spellEnd"/>
      <w:r>
        <w:rPr>
          <w:rFonts w:ascii="Arial" w:hAnsi="Arial" w:cs="Arial"/>
        </w:rPr>
        <w:t xml:space="preserve"> sheet metal. 12” wide panels attached to 18ga galvanized c-channel</w:t>
      </w:r>
    </w:p>
    <w:p w14:paraId="53E830F1" w14:textId="393E3A06" w:rsidR="00874852" w:rsidRPr="0087485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Hanger R</w:t>
      </w:r>
      <w:r w:rsidR="00B27CCB">
        <w:rPr>
          <w:rFonts w:ascii="Arial" w:hAnsi="Arial" w:cs="Arial"/>
        </w:rPr>
        <w:t>ods: Zinc steel and powder coat</w:t>
      </w:r>
      <w:r>
        <w:rPr>
          <w:rFonts w:ascii="Arial" w:hAnsi="Arial" w:cs="Arial"/>
        </w:rPr>
        <w:t xml:space="preserve"> </w:t>
      </w:r>
      <w:r w:rsidR="00B27CCB">
        <w:rPr>
          <w:rFonts w:ascii="Arial" w:hAnsi="Arial" w:cs="Arial"/>
        </w:rPr>
        <w:t>(</w:t>
      </w:r>
      <w:r>
        <w:rPr>
          <w:rFonts w:ascii="Arial" w:hAnsi="Arial" w:cs="Arial"/>
        </w:rPr>
        <w:t>Pri</w:t>
      </w:r>
      <w:r w:rsidR="00B27CCB">
        <w:rPr>
          <w:rFonts w:ascii="Arial" w:hAnsi="Arial" w:cs="Arial"/>
        </w:rPr>
        <w:t>me and paint are not acceptable)</w:t>
      </w:r>
    </w:p>
    <w:p w14:paraId="49C90006" w14:textId="7028637E" w:rsidR="00874852" w:rsidRPr="0087485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Connections: Wall plates and canopy mounting brackets are to be aluminum.</w:t>
      </w:r>
    </w:p>
    <w:p w14:paraId="6D30B50D" w14:textId="2344CAD4" w:rsidR="00874852" w:rsidRPr="00DE403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Hardware and Fasteners: Nuts, bolts, washers, clevis pins, screw</w:t>
      </w:r>
      <w:r w:rsidR="00B27CCB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anchors and pipe spacers to be zinc plated or galvanized steel required to suit application and per pre-engineered canopy load requirements.</w:t>
      </w:r>
    </w:p>
    <w:p w14:paraId="4FA7B71B" w14:textId="63CDF864" w:rsidR="0087485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Flashing: Shall be minimum 0.040 inch aluminum, fabricated to prevent leakage and sealed with </w:t>
      </w:r>
      <w:proofErr w:type="spellStart"/>
      <w:r>
        <w:rPr>
          <w:rFonts w:ascii="Arial" w:hAnsi="Arial" w:cs="Arial"/>
          <w:bCs/>
        </w:rPr>
        <w:t>Novaflex</w:t>
      </w:r>
      <w:proofErr w:type="spellEnd"/>
      <w:r>
        <w:rPr>
          <w:rFonts w:ascii="Arial" w:hAnsi="Arial" w:cs="Arial"/>
          <w:bCs/>
        </w:rPr>
        <w:t xml:space="preserve"> metal roof sealant in clear or color match. Other equivalent sealant is acceptable.</w:t>
      </w:r>
    </w:p>
    <w:p w14:paraId="009EB68D" w14:textId="3D6FB86A" w:rsidR="00874852" w:rsidRDefault="00874852" w:rsidP="0087485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Fascia: Flat aluminum 5052 alloy sheet .063 to .125 thickness – depending on height. Finish:</w:t>
      </w:r>
    </w:p>
    <w:p w14:paraId="601CF53A" w14:textId="24ABF9BB" w:rsidR="00874852" w:rsidRDefault="00874852" w:rsidP="00874852">
      <w:pPr>
        <w:pStyle w:val="PR2"/>
        <w:numPr>
          <w:ilvl w:val="2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Anodize per AAMA 611</w:t>
      </w:r>
    </w:p>
    <w:p w14:paraId="4960E131" w14:textId="11133776" w:rsidR="00874852" w:rsidRDefault="00874852" w:rsidP="00874852">
      <w:pPr>
        <w:pStyle w:val="PR2"/>
        <w:numPr>
          <w:ilvl w:val="2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Powder coat per AAMA 2603</w:t>
      </w:r>
    </w:p>
    <w:p w14:paraId="7498481B" w14:textId="294362E4" w:rsidR="00874852" w:rsidRDefault="00874852" w:rsidP="00874852">
      <w:pPr>
        <w:pStyle w:val="PR2"/>
        <w:numPr>
          <w:ilvl w:val="2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Kynar</w:t>
      </w:r>
      <w:proofErr w:type="spellEnd"/>
      <w:r>
        <w:rPr>
          <w:rFonts w:ascii="Arial" w:hAnsi="Arial" w:cs="Arial"/>
        </w:rPr>
        <w:t xml:space="preserve"> per AAMA 2605</w:t>
      </w:r>
    </w:p>
    <w:p w14:paraId="03DF9919" w14:textId="77777777" w:rsidR="00092242" w:rsidRPr="00092242" w:rsidRDefault="0009224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1156C" w14:textId="77777777" w:rsidR="0041214A" w:rsidRPr="00092242" w:rsidRDefault="003112B5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EXECUTION</w:t>
      </w:r>
    </w:p>
    <w:p w14:paraId="289F92B3" w14:textId="77777777" w:rsidR="00092242" w:rsidRPr="00092242" w:rsidRDefault="00500A2C" w:rsidP="00092242">
      <w:pPr>
        <w:pStyle w:val="ART"/>
        <w:numPr>
          <w:ilvl w:val="1"/>
          <w:numId w:val="24"/>
        </w:numPr>
      </w:pPr>
      <w:r w:rsidRPr="00092242">
        <w:t>FABRICATION</w:t>
      </w:r>
    </w:p>
    <w:p w14:paraId="0CCB94ED" w14:textId="463E6E4C" w:rsidR="00F93F63" w:rsidRPr="00092242" w:rsidRDefault="00B27CCB" w:rsidP="00092242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>Fabricate and p</w:t>
      </w:r>
      <w:r w:rsidR="00C016F0">
        <w:rPr>
          <w:b w:val="0"/>
        </w:rPr>
        <w:t>reassemble canopies</w:t>
      </w:r>
      <w:r w:rsidR="00500A2C" w:rsidRPr="00092242">
        <w:rPr>
          <w:b w:val="0"/>
        </w:rPr>
        <w:t xml:space="preserve"> in the sho</w:t>
      </w:r>
      <w:r w:rsidR="003112B5">
        <w:rPr>
          <w:b w:val="0"/>
        </w:rPr>
        <w:t xml:space="preserve">p to greatest extent possible. </w:t>
      </w:r>
      <w:r w:rsidR="00500A2C" w:rsidRPr="00092242">
        <w:rPr>
          <w:b w:val="0"/>
        </w:rPr>
        <w:t>Disassemble units only as necessary for ship</w:t>
      </w:r>
      <w:r w:rsidR="003112B5">
        <w:rPr>
          <w:b w:val="0"/>
        </w:rPr>
        <w:t xml:space="preserve">ping and handling limitations. Clearly mark units for </w:t>
      </w:r>
      <w:r w:rsidR="00500A2C" w:rsidRPr="00092242">
        <w:rPr>
          <w:b w:val="0"/>
        </w:rPr>
        <w:t>reassembly and coordinated installation.</w:t>
      </w:r>
      <w:r w:rsidR="00092242" w:rsidRPr="00092242">
        <w:rPr>
          <w:b w:val="0"/>
        </w:rPr>
        <w:t xml:space="preserve">  </w:t>
      </w:r>
    </w:p>
    <w:p w14:paraId="791D0EE7" w14:textId="77777777" w:rsidR="002E016A" w:rsidRPr="00092242" w:rsidRDefault="002E016A" w:rsidP="002E016A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6AD1A6B5" w14:textId="77777777" w:rsidR="002E016A" w:rsidRPr="00092242" w:rsidRDefault="001A0ECF" w:rsidP="002E016A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E016A" w:rsidRPr="00092242">
        <w:rPr>
          <w:rFonts w:ascii="Arial" w:hAnsi="Arial" w:cs="Arial"/>
          <w:b/>
        </w:rPr>
        <w:t>INSTALLATION</w:t>
      </w:r>
    </w:p>
    <w:p w14:paraId="07F55216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Install canopies per manufacturer’s written in</w:t>
      </w:r>
      <w:r w:rsidR="00C016F0">
        <w:rPr>
          <w:rFonts w:ascii="Arial" w:hAnsi="Arial" w:cs="Arial"/>
        </w:rPr>
        <w:t>structions and as indicated on d</w:t>
      </w:r>
      <w:r w:rsidRPr="00092242">
        <w:rPr>
          <w:rFonts w:ascii="Arial" w:hAnsi="Arial" w:cs="Arial"/>
        </w:rPr>
        <w:t xml:space="preserve">rawings. </w:t>
      </w:r>
    </w:p>
    <w:p w14:paraId="695AD1DC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Locate a</w:t>
      </w:r>
      <w:r w:rsidR="00C016F0">
        <w:rPr>
          <w:rFonts w:ascii="Arial" w:hAnsi="Arial" w:cs="Arial"/>
        </w:rPr>
        <w:t xml:space="preserve">nd place canopies level, plumb </w:t>
      </w:r>
      <w:r w:rsidRPr="00092242">
        <w:rPr>
          <w:rFonts w:ascii="Arial" w:hAnsi="Arial" w:cs="Arial"/>
        </w:rPr>
        <w:t>and at indicated alignment with adjacent work.</w:t>
      </w:r>
    </w:p>
    <w:p w14:paraId="5C31C3C8" w14:textId="77777777" w:rsidR="002E016A" w:rsidRPr="00092242" w:rsidRDefault="003112B5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Use concealed anchor</w:t>
      </w:r>
      <w:r w:rsidR="002E016A" w:rsidRPr="00092242">
        <w:rPr>
          <w:rFonts w:ascii="Arial" w:hAnsi="Arial" w:cs="Arial"/>
        </w:rPr>
        <w:t xml:space="preserve">s where possible.  </w:t>
      </w:r>
    </w:p>
    <w:p w14:paraId="7C30A7D8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Repair damaged finishes so no evidence remains of corrective w</w:t>
      </w:r>
      <w:r w:rsidR="00855DD7">
        <w:rPr>
          <w:rFonts w:ascii="Arial" w:hAnsi="Arial" w:cs="Arial"/>
        </w:rPr>
        <w:t xml:space="preserve">ork. </w:t>
      </w:r>
      <w:r w:rsidRPr="00092242">
        <w:rPr>
          <w:rFonts w:ascii="Arial" w:hAnsi="Arial" w:cs="Arial"/>
        </w:rPr>
        <w:t>Return items</w:t>
      </w:r>
      <w:r w:rsidR="00C016F0">
        <w:rPr>
          <w:rFonts w:ascii="Arial" w:hAnsi="Arial" w:cs="Arial"/>
        </w:rPr>
        <w:t xml:space="preserve"> to the factory</w:t>
      </w:r>
      <w:r w:rsidRPr="00092242">
        <w:rPr>
          <w:rFonts w:ascii="Arial" w:hAnsi="Arial" w:cs="Arial"/>
        </w:rPr>
        <w:t xml:space="preserve"> that cannot be refinis</w:t>
      </w:r>
      <w:r w:rsidR="00C016F0">
        <w:rPr>
          <w:rFonts w:ascii="Arial" w:hAnsi="Arial" w:cs="Arial"/>
        </w:rPr>
        <w:t>hed in the field.</w:t>
      </w:r>
      <w:r w:rsidRPr="00092242">
        <w:rPr>
          <w:rFonts w:ascii="Arial" w:hAnsi="Arial" w:cs="Arial"/>
        </w:rPr>
        <w:t xml:space="preserve"> Make required alterations and refinish entire unit or provide new units.</w:t>
      </w:r>
    </w:p>
    <w:p w14:paraId="71A401A7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Protect galvanized and nonferrous-metal surfaces from corrosion or galv</w:t>
      </w:r>
      <w:r w:rsidR="003112B5">
        <w:rPr>
          <w:rFonts w:ascii="Arial" w:hAnsi="Arial" w:cs="Arial"/>
        </w:rPr>
        <w:t xml:space="preserve">anic action by applying a </w:t>
      </w:r>
      <w:r w:rsidRPr="00092242">
        <w:rPr>
          <w:rFonts w:ascii="Arial" w:hAnsi="Arial" w:cs="Arial"/>
        </w:rPr>
        <w:t>coating of bituminous paint</w:t>
      </w:r>
      <w:r w:rsidR="00092242">
        <w:rPr>
          <w:rFonts w:ascii="Arial" w:hAnsi="Arial" w:cs="Arial"/>
        </w:rPr>
        <w:t xml:space="preserve"> or elastomeric coating </w:t>
      </w:r>
      <w:r w:rsidRPr="00092242">
        <w:rPr>
          <w:rFonts w:ascii="Arial" w:hAnsi="Arial" w:cs="Arial"/>
        </w:rPr>
        <w:t>on surfaces that will be in</w:t>
      </w:r>
      <w:r w:rsidR="00C016F0">
        <w:rPr>
          <w:rFonts w:ascii="Arial" w:hAnsi="Arial" w:cs="Arial"/>
        </w:rPr>
        <w:t xml:space="preserve"> contact with concrete, masonry</w:t>
      </w:r>
      <w:r w:rsidRPr="00092242">
        <w:rPr>
          <w:rFonts w:ascii="Arial" w:hAnsi="Arial" w:cs="Arial"/>
        </w:rPr>
        <w:t xml:space="preserve"> or dissimilar metals.</w:t>
      </w:r>
    </w:p>
    <w:p w14:paraId="3BE04AFF" w14:textId="77777777" w:rsidR="002E016A" w:rsidRPr="00092242" w:rsidRDefault="002E016A" w:rsidP="002E016A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14:paraId="26A9DEB2" w14:textId="77777777" w:rsidR="00500A2C" w:rsidRDefault="00500A2C" w:rsidP="002E016A">
      <w:pPr>
        <w:pStyle w:val="PR1"/>
      </w:pPr>
    </w:p>
    <w:sectPr w:rsidR="00500A2C" w:rsidSect="00B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1A5587C"/>
    <w:multiLevelType w:val="hybridMultilevel"/>
    <w:tmpl w:val="BDB8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3882"/>
    <w:multiLevelType w:val="hybridMultilevel"/>
    <w:tmpl w:val="4914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826"/>
    <w:multiLevelType w:val="hybridMultilevel"/>
    <w:tmpl w:val="A66E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7A0"/>
    <w:multiLevelType w:val="hybridMultilevel"/>
    <w:tmpl w:val="6C986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845"/>
    <w:multiLevelType w:val="hybridMultilevel"/>
    <w:tmpl w:val="E6A01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14C0"/>
    <w:multiLevelType w:val="hybridMultilevel"/>
    <w:tmpl w:val="9244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046E"/>
    <w:multiLevelType w:val="hybridMultilevel"/>
    <w:tmpl w:val="60424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942B0"/>
    <w:multiLevelType w:val="hybridMultilevel"/>
    <w:tmpl w:val="07C21C08"/>
    <w:lvl w:ilvl="0" w:tplc="E00609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63EC"/>
    <w:multiLevelType w:val="hybridMultilevel"/>
    <w:tmpl w:val="4F0E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75AA4"/>
    <w:multiLevelType w:val="hybridMultilevel"/>
    <w:tmpl w:val="91CCA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327186"/>
    <w:multiLevelType w:val="hybridMultilevel"/>
    <w:tmpl w:val="99E208AA"/>
    <w:lvl w:ilvl="0" w:tplc="DD1C00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63746"/>
    <w:multiLevelType w:val="hybridMultilevel"/>
    <w:tmpl w:val="7C44E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  <w:num w:numId="21">
    <w:abstractNumId w:val="10"/>
  </w:num>
  <w:num w:numId="22">
    <w:abstractNumId w:val="19"/>
  </w:num>
  <w:num w:numId="23">
    <w:abstractNumId w:val="25"/>
  </w:num>
  <w:num w:numId="24">
    <w:abstractNumId w:val="12"/>
  </w:num>
  <w:num w:numId="25">
    <w:abstractNumId w:val="22"/>
  </w:num>
  <w:num w:numId="26">
    <w:abstractNumId w:val="24"/>
  </w:num>
  <w:num w:numId="27">
    <w:abstractNumId w:val="16"/>
  </w:num>
  <w:num w:numId="28">
    <w:abstractNumId w:val="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A"/>
    <w:rsid w:val="000152A3"/>
    <w:rsid w:val="00092242"/>
    <w:rsid w:val="001A0ECF"/>
    <w:rsid w:val="002E016A"/>
    <w:rsid w:val="003112B5"/>
    <w:rsid w:val="003917E0"/>
    <w:rsid w:val="003F5685"/>
    <w:rsid w:val="0041214A"/>
    <w:rsid w:val="004A355C"/>
    <w:rsid w:val="00500A2C"/>
    <w:rsid w:val="00535F75"/>
    <w:rsid w:val="00583802"/>
    <w:rsid w:val="00590ADA"/>
    <w:rsid w:val="006D76F8"/>
    <w:rsid w:val="006E39C3"/>
    <w:rsid w:val="007057A5"/>
    <w:rsid w:val="00855DD7"/>
    <w:rsid w:val="00874852"/>
    <w:rsid w:val="008E70D3"/>
    <w:rsid w:val="00A85717"/>
    <w:rsid w:val="00AB0D21"/>
    <w:rsid w:val="00B27CCB"/>
    <w:rsid w:val="00B75854"/>
    <w:rsid w:val="00BB0298"/>
    <w:rsid w:val="00BC5442"/>
    <w:rsid w:val="00BC6529"/>
    <w:rsid w:val="00BF6B7E"/>
    <w:rsid w:val="00C016F0"/>
    <w:rsid w:val="00C06B12"/>
    <w:rsid w:val="00C14EDF"/>
    <w:rsid w:val="00C160F2"/>
    <w:rsid w:val="00CB04BF"/>
    <w:rsid w:val="00D07CF3"/>
    <w:rsid w:val="00D949F8"/>
    <w:rsid w:val="00E96655"/>
    <w:rsid w:val="00F93F63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0C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h-f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C0DD-B9BF-4ECE-85D1-67AC3D3B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Brooke Weinzierl</cp:lastModifiedBy>
  <cp:revision>4</cp:revision>
  <cp:lastPrinted>2016-09-12T12:56:00Z</cp:lastPrinted>
  <dcterms:created xsi:type="dcterms:W3CDTF">2017-03-27T18:22:00Z</dcterms:created>
  <dcterms:modified xsi:type="dcterms:W3CDTF">2017-05-09T19:14:00Z</dcterms:modified>
</cp:coreProperties>
</file>